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rFonts w:ascii="Arial" w:cs="Arial" w:eastAsia="Arial" w:hAnsi="Arial"/>
          <w:b/>
          <w:bCs/>
          <w:color w:val="10475B"/>
          <w:sz w:val="34"/>
          <w:szCs w:val="34"/>
        </w:rPr>
        <w:t>Learning Practice Toolkits</w:t>
      </w:r>
    </w:p>
    <w:p>
      <w:pPr>
        <w:spacing w:after="200"/>
      </w:pPr>
      <w:r>
        <w:rPr>
          <w:b/>
          <w:bCs/>
          <w:color w:val="5A6A7B"/>
          <w:sz w:val="20"/>
          <w:szCs w:val="20"/>
        </w:rPr>
        <w:t>Institutional License Request Form · B Optimal Consulting, LLC</w:t>
      </w:r>
    </w:p>
    <w:p>
      <w:pPr>
        <w:spacing w:after="120" w:line="276"/>
      </w:pPr>
      <w:r>
        <w:rPr>
          <w:color w:val="1D2730"/>
          <w:sz w:val="20"/>
          <w:szCs w:val="20"/>
        </w:rPr>
        <w:t>Use this form to license Study Strategy Swap Bingo™ and the other Learning Practice Toolkits for a nonprofit educational institution. Complete the fields in each table, then return the form to support@boptimalconsulting.com. We will confirm your request and coverage, then send an invoice or payment link. If you request coverage beyond one department or program, we will send a quote first.</w:t>
      </w:r>
    </w:p>
    <w:p>
      <w:pPr>
        <w:pStyle w:val="Heading2"/>
        <w:keepNext/>
      </w:pPr>
      <w:r>
        <w:t xml:space="preserve">1. Institution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Institution legal name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City and state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Institution website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 xml:space="preserve">Nonprofit educational institution? (Yes or No)</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bl>
    <w:p>
      <w:pPr>
        <w:spacing w:after="120" w:before="40"/>
      </w:pPr>
      <w:r>
        <w:rPr>
          <w:i/>
          <w:iCs/>
          <w:color w:val="5A6A7B"/>
          <w:sz w:val="18"/>
          <w:szCs w:val="18"/>
        </w:rPr>
        <w:t>Institutional licenses are available to nonprofit educational institutions.</w:t>
      </w:r>
    </w:p>
    <w:p>
      <w:pPr>
        <w:pStyle w:val="Heading2"/>
        <w:keepNext/>
      </w:pPr>
      <w:r>
        <w:t xml:space="preserve">2. Coverage</w:t>
      </w:r>
    </w:p>
    <w:p>
      <w:pPr>
        <w:spacing w:after="120" w:line="276"/>
      </w:pPr>
      <w:r>
        <w:rPr>
          <w:color w:val="1D2730"/>
          <w:sz w:val="20"/>
          <w:szCs w:val="20"/>
        </w:rPr>
        <w:t>The Program or Department license covers one named department, program, or other unit at the flat annual fee shown in Section 4. Coverage for several named collaborating units, or institution-wide coverage of all departments and campuses of the named college or university, is quoted individually. Licenses spanning multiple institutions in a university system are arranged individually; contact us to start that conversation.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Coverage level (one department or program, several collaborating units, or institution-wide)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Name of each covered department, program, or unit</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 xml:space="preserve">Campus or location (if your institution has more than one)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Approximate number of facilitators (optional)</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bl>
    <w:p>
      <w:pPr>
        <w:pStyle w:val="Heading2"/>
        <w:keepNext/>
      </w:pPr>
      <w:r>
        <w:t xml:space="preserve">3. Contacts</w:t>
      </w:r>
    </w:p>
    <w:p>
      <w:pPr>
        <w:spacing w:after="120" w:line="276"/>
      </w:pPr>
      <w:r>
        <w:rPr>
          <w:color w:val="1D2730"/>
          <w:sz w:val="20"/>
          <w:szCs w:val="20"/>
        </w:rPr>
        <w:t>The license contact receives the welcome letter, access information, updates, and renewal reminders.</w:t>
      </w:r>
    </w:p>
    <w:p>
      <w:pPr>
        <w:pStyle w:val="Heading3"/>
        <w:keepNext/>
      </w:pPr>
      <w:r>
        <w:t xml:space="preserve">License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Name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Title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Email</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 xml:space="preserve">Phone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bl>
    <w:p>
      <w:pPr>
        <w:pStyle w:val="Heading3"/>
        <w:keepNext/>
      </w:pPr>
      <w:r>
        <w:t xml:space="preserve">Billing or accounts payable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Name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Email</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 xml:space="preserve">Phone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bl>
    <w:p>
      <w:pPr>
        <w:pStyle w:val="Heading2"/>
        <w:keepNext/>
      </w:pPr>
      <w:r>
        <w:t>4. Toolkits and annual fees</w:t>
      </w:r>
    </w:p>
    <w:p>
      <w:pPr>
        <w:spacing w:after="120" w:line="276"/>
      </w:pPr>
      <w:r>
        <w:rPr>
          <w:color w:val="1D2730"/>
          <w:sz w:val="20"/>
          <w:szCs w:val="20"/>
        </w:rPr>
        <w:t>Type X in the Select column for each license you are requesting.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6560"/>
        <w:gridCol w:w="1800"/>
      </w:tblGrid>
      <w:tr>
        <w:trPr>
          <w:tblHeader/>
        </w:trPr>
        <w:tc>
          <w:tcPr>
            <w:tcW w:type="dxa" w:w="1000"/>
            <w:tcBorders>
              <w:top w:val="single" w:color="B8C4CE" w:sz="4"/>
              <w:left w:val="single" w:color="B8C4CE" w:sz="4"/>
              <w:bottom w:val="single" w:color="B8C4CE" w:sz="4"/>
              <w:right w:val="single" w:color="B8C4CE" w:sz="4"/>
            </w:tcBorders>
            <w:shd w:fill="10475B" w:color="auto" w:val="clear"/>
            <w:tcMar>
              <w:top w:type="dxa" w:w="80"/>
              <w:left w:type="dxa" w:w="100"/>
              <w:bottom w:type="dxa" w:w="80"/>
              <w:right w:type="dxa" w:w="100"/>
            </w:tcMar>
          </w:tcPr>
          <w:p>
            <w:r>
              <w:rPr>
                <w:b/>
                <w:bCs/>
                <w:color w:val="FFFFFF"/>
                <w:sz w:val="18"/>
                <w:szCs w:val="18"/>
              </w:rPr>
              <w:t xml:space="preserve">Select</w:t>
            </w:r>
          </w:p>
        </w:tc>
        <w:tc>
          <w:tcPr>
            <w:tcW w:type="dxa" w:w="6560"/>
            <w:tcBorders>
              <w:top w:val="single" w:color="B8C4CE" w:sz="4"/>
              <w:left w:val="single" w:color="B8C4CE" w:sz="4"/>
              <w:bottom w:val="single" w:color="B8C4CE" w:sz="4"/>
              <w:right w:val="single" w:color="B8C4CE" w:sz="4"/>
            </w:tcBorders>
            <w:shd w:fill="10475B" w:color="auto" w:val="clear"/>
            <w:tcMar>
              <w:top w:type="dxa" w:w="80"/>
              <w:left w:type="dxa" w:w="100"/>
              <w:bottom w:type="dxa" w:w="80"/>
              <w:right w:type="dxa" w:w="100"/>
            </w:tcMar>
          </w:tcPr>
          <w:p>
            <w:r>
              <w:rPr>
                <w:b/>
                <w:bCs/>
                <w:color w:val="FFFFFF"/>
                <w:sz w:val="18"/>
                <w:szCs w:val="18"/>
              </w:rPr>
              <w:t xml:space="preserve">License</w:t>
            </w:r>
          </w:p>
        </w:tc>
        <w:tc>
          <w:tcPr>
            <w:tcW w:type="dxa" w:w="1800"/>
            <w:tcBorders>
              <w:top w:val="single" w:color="B8C4CE" w:sz="4"/>
              <w:left w:val="single" w:color="B8C4CE" w:sz="4"/>
              <w:bottom w:val="single" w:color="B8C4CE" w:sz="4"/>
              <w:right w:val="single" w:color="B8C4CE" w:sz="4"/>
            </w:tcBorders>
            <w:shd w:fill="10475B" w:color="auto" w:val="clear"/>
            <w:tcMar>
              <w:top w:type="dxa" w:w="80"/>
              <w:left w:type="dxa" w:w="100"/>
              <w:bottom w:type="dxa" w:w="80"/>
              <w:right w:type="dxa" w:w="100"/>
            </w:tcMar>
          </w:tcPr>
          <w:p>
            <w:r>
              <w:rPr>
                <w:b/>
                <w:bCs/>
                <w:color w:val="FFFFFF"/>
                <w:sz w:val="18"/>
                <w:szCs w:val="18"/>
              </w:rPr>
              <w:t xml:space="preserve">Annual fee</w:t>
            </w:r>
          </w:p>
        </w:tc>
      </w:tr>
      <w:tr>
        <w:trPr>
          <w:cantSplit/>
        </w:trPr>
        <w:tc>
          <w:tcPr>
            <w:tcW w:type="dxa" w:w="10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
            </w:r>
          </w:p>
        </w:tc>
        <w:tc>
          <w:tcPr>
            <w:tcW w:type="dxa" w:w="656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Study Strategy Swap Bingo™ — Facilitator Toolkit</w:t>
            </w:r>
          </w:p>
        </w:tc>
        <w:tc>
          <w:tcPr>
            <w:tcW w:type="dxa" w:w="18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$595</w:t>
            </w:r>
          </w:p>
        </w:tc>
      </w:tr>
      <w:tr>
        <w:trPr>
          <w:cantSplit/>
        </w:trPr>
        <w:tc>
          <w:tcPr>
            <w:tcW w:type="dxa" w:w="10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
            </w:r>
          </w:p>
        </w:tc>
        <w:tc>
          <w:tcPr>
            <w:tcW w:type="dxa" w:w="656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Tell. Ask. Give. — The TAG Peer Feedback Facilitator Toolkit</w:t>
            </w:r>
          </w:p>
        </w:tc>
        <w:tc>
          <w:tcPr>
            <w:tcW w:type="dxa" w:w="18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$595</w:t>
            </w:r>
          </w:p>
        </w:tc>
      </w:tr>
      <w:tr>
        <w:trPr>
          <w:cantSplit/>
        </w:trPr>
        <w:tc>
          <w:tcPr>
            <w:tcW w:type="dxa" w:w="10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
            </w:r>
          </w:p>
        </w:tc>
        <w:tc>
          <w:tcPr>
            <w:tcW w:type="dxa" w:w="656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Goal Management — Practitioner Toolkit</w:t>
            </w:r>
          </w:p>
        </w:tc>
        <w:tc>
          <w:tcPr>
            <w:tcW w:type="dxa" w:w="18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$595</w:t>
            </w:r>
          </w:p>
        </w:tc>
      </w:tr>
      <w:tr>
        <w:trPr>
          <w:cantSplit/>
        </w:trPr>
        <w:tc>
          <w:tcPr>
            <w:tcW w:type="dxa" w:w="10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
            </w:r>
          </w:p>
        </w:tc>
        <w:tc>
          <w:tcPr>
            <w:tcW w:type="dxa" w:w="656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Learning Practice Toolkits Collection (all three toolkits)</w:t>
            </w:r>
          </w:p>
        </w:tc>
        <w:tc>
          <w:tcPr>
            <w:tcW w:type="dxa" w:w="18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$1,495</w:t>
            </w:r>
          </w:p>
        </w:tc>
      </w:tr>
      <w:tr>
        <w:trPr>
          <w:cantSplit/>
        </w:trPr>
        <w:tc>
          <w:tcPr>
            <w:tcW w:type="dxa" w:w="10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
            </w:r>
          </w:p>
        </w:tc>
        <w:tc>
          <w:tcPr>
            <w:tcW w:type="dxa" w:w="656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Total annual fee</w:t>
            </w:r>
          </w:p>
        </w:tc>
        <w:tc>
          <w:tcPr>
            <w:tcW w:type="dxa" w:w="1800"/>
            <w:tcBorders>
              <w:top w:val="single" w:color="B8C4CE" w:sz="4"/>
              <w:left w:val="single" w:color="B8C4CE" w:sz="4"/>
              <w:bottom w:val="single" w:color="B8C4CE" w:sz="4"/>
              <w:right w:val="single" w:color="B8C4CE" w:sz="4"/>
            </w:tcBorders>
            <w:tcMar>
              <w:top w:type="dxa" w:w="80"/>
              <w:left w:type="dxa" w:w="100"/>
              <w:bottom w:type="dxa" w:w="80"/>
              <w:right w:type="dxa" w:w="100"/>
            </w:tcMar>
          </w:tcPr>
          <w:p>
            <w:r>
              <w:rPr>
                <w:color w:val="1D2730"/>
                <w:sz w:val="18"/>
                <w:szCs w:val="18"/>
              </w:rPr>
              <w:t xml:space="preserve"/>
            </w:r>
          </w:p>
        </w:tc>
      </w:tr>
    </w:tbl>
    <w:p>
      <w:pPr>
        <w:spacing w:after="120" w:before="40"/>
      </w:pPr>
      <w:r>
        <w:rPr>
          <w:i/>
          <w:iCs/>
          <w:color w:val="5A6A7B"/>
          <w:sz w:val="18"/>
          <w:szCs w:val="18"/>
        </w:rPr>
        <w:t>Fees shown are for one department or program. For several collaborating units or institution-wide coverage, select the toolkits you want and we will send a quote. The Collection includes all three toolkits.</w:t>
      </w:r>
    </w:p>
    <w:p>
      <w:pPr>
        <w:pStyle w:val="Heading2"/>
        <w:keepNext/>
      </w:pPr>
      <w:r>
        <w:t xml:space="preserve">5. License term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 xml:space="preserve">Requested start date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bl>
    <w:p>
      <w:pPr>
        <w:spacing w:after="120" w:before="120" w:line="276"/>
      </w:pPr>
      <w:r>
        <w:rPr>
          <w:color w:val="1D2730"/>
          <w:sz w:val="20"/>
          <w:szCs w:val="20"/>
        </w:rPr>
        <w:t>Each license lasts 12 months from the start date, and the price remains fixed for the term. Expanded coverage during the term can be arranged through a written amendment. Renewal is affirmative, not automatic. We send reminders 60 and 30 days before expiration, with renewal pricing included in the first reminder.</w:t>
      </w:r>
    </w:p>
    <w:p>
      <w:pPr>
        <w:pStyle w:val="Heading2"/>
        <w:keepNext/>
      </w:pPr>
      <w:r>
        <w:t xml:space="preserve">6. Payment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Payment method (invoice, purchase order, or credit card)</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Purchase order number (if applicable)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 xml:space="preserve">Tax-exempt certificate attached? (Yes, No, or Not applicable)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bl>
    <w:p>
      <w:pPr>
        <w:pStyle w:val="Heading2"/>
        <w:keepNext/>
      </w:pPr>
      <w:r>
        <w:t xml:space="preserve">7. Summary of license terms</w:t>
      </w:r>
    </w:p>
    <w:p>
      <w:pPr>
        <w:spacing w:after="120" w:line="276"/>
      </w:pPr>
      <w:r>
        <w:rPr>
          <w:color w:val="1D2730"/>
          <w:sz w:val="20"/>
          <w:szCs w:val="20"/>
        </w:rPr>
        <w:t xml:space="preserve">This summary is provided for convenience. The institutional terms govern the license.</w:t>
      </w:r>
    </w:p>
    <w:p>
      <w:pPr>
        <w:pStyle w:val="ListParagraph"/>
        <w:numPr>
          <w:ilvl w:val="0"/>
          <w:numId w:val="2"/>
        </w:numPr>
        <w:spacing w:after="80" w:line="276"/>
      </w:pPr>
      <w:r>
        <w:rPr>
          <w:color w:val="1D2730"/>
          <w:sz w:val="20"/>
          <w:szCs w:val="20"/>
        </w:rPr>
        <w:t>An unlimited number of institutional employees may facilitate within the licensed scope, including faculty, professional staff, and student employees such as peer tutors. Contractors may not facilitate under the license.</w:t>
      </w:r>
    </w:p>
    <w:p>
      <w:pPr>
        <w:pStyle w:val="ListParagraph"/>
        <w:numPr>
          <w:ilvl w:val="0"/>
          <w:numId w:val="2"/>
        </w:numPr>
        <w:spacing w:after="80" w:line="276"/>
      </w:pPr>
      <w:r>
        <w:rPr>
          <w:color w:val="1D2730"/>
          <w:sz w:val="20"/>
          <w:szCs w:val="20"/>
        </w:rPr>
        <w:t>Authorized users are the current faculty, staff, and enrolled students of the institution within the licensed scope. Access follows a person’s current affiliation and ends when that affiliation ends.</w:t>
      </w:r>
    </w:p>
    <w:p>
      <w:pPr>
        <w:pStyle w:val="ListParagraph"/>
        <w:numPr>
          <w:ilvl w:val="0"/>
          <w:numId w:val="2"/>
        </w:numPr>
        <w:spacing w:after="80" w:line="276"/>
      </w:pPr>
      <w:r>
        <w:rPr>
          <w:color w:val="1D2730"/>
          <w:sz w:val="20"/>
          <w:szCs w:val="20"/>
        </w:rPr>
        <w:t>Covered programs may include enrolled students under 18, such as dual-enrollment students. The institution is responsible for any parental notification or consent its policies or applicable law require.</w:t>
      </w:r>
    </w:p>
    <w:p>
      <w:pPr>
        <w:pStyle w:val="ListParagraph"/>
        <w:numPr>
          <w:ilvl w:val="0"/>
          <w:numId w:val="2"/>
        </w:numPr>
        <w:spacing w:after="80" w:line="276"/>
      </w:pPr>
      <w:r>
        <w:rPr>
          <w:color w:val="1D2730"/>
          <w:sz w:val="20"/>
          <w:szCs w:val="20"/>
        </w:rPr>
        <w:t>Links, passwords, license keys, and other credentials may not be shared outside the licensed scope. Learners do not access the toolkit itself; facilitators share student materials and open-access student links with covered learners.</w:t>
      </w:r>
    </w:p>
    <w:p>
      <w:pPr>
        <w:pStyle w:val="ListParagraph"/>
        <w:numPr>
          <w:ilvl w:val="0"/>
          <w:numId w:val="2"/>
        </w:numPr>
        <w:spacing w:after="80" w:line="276"/>
      </w:pPr>
      <w:r>
        <w:rPr>
          <w:color w:val="1D2730"/>
          <w:sz w:val="20"/>
          <w:szCs w:val="20"/>
        </w:rPr>
        <w:t>A facilitator from a licensed unit may lead a session in another unit’s class, such as a tutor from a licensed tutoring center facilitating Swap Bingo in an instructor’s class. Hosting that session does not give the instructor permission to independently reuse the toolkit.</w:t>
      </w:r>
    </w:p>
    <w:p>
      <w:pPr>
        <w:pStyle w:val="ListParagraph"/>
        <w:numPr>
          <w:ilvl w:val="0"/>
          <w:numId w:val="2"/>
        </w:numPr>
        <w:spacing w:after="80" w:line="276"/>
      </w:pPr>
      <w:r>
        <w:rPr>
          <w:color w:val="1D2730"/>
          <w:sz w:val="20"/>
          <w:szCs w:val="20"/>
        </w:rPr>
        <w:t>Faculty and staff may post or embed materials in a closed learning management system within the licensed scope. Facilitator materials stored there must not be accessible to students. Student materials may be shared with covered learners.</w:t>
      </w:r>
    </w:p>
    <w:p>
      <w:pPr>
        <w:pStyle w:val="ListParagraph"/>
        <w:numPr>
          <w:ilvl w:val="0"/>
          <w:numId w:val="2"/>
        </w:numPr>
        <w:spacing w:after="80" w:line="276"/>
      </w:pPr>
      <w:r>
        <w:rPr>
          <w:color w:val="1D2730"/>
          <w:sz w:val="20"/>
          <w:szCs w:val="20"/>
        </w:rPr>
        <w:t>PDF and Microsoft Word files may be downloaded to personal devices. Within an active license, facilitators may customize examples, prompts, and timing and make accessible versions, keeping B Optimal names, attribution, and copyright notices on adapted materials.</w:t>
      </w:r>
    </w:p>
    <w:p>
      <w:pPr>
        <w:pStyle w:val="ListParagraph"/>
        <w:numPr>
          <w:ilvl w:val="0"/>
          <w:numId w:val="2"/>
        </w:numPr>
        <w:spacing w:after="80" w:line="276"/>
      </w:pPr>
      <w:r>
        <w:rPr>
          <w:color w:val="1D2730"/>
          <w:sz w:val="20"/>
          <w:szCs w:val="20"/>
        </w:rPr>
        <w:t>Commercial use, including compensated work outside a facilitator’s institutional employment, is outside the license.</w:t>
      </w:r>
    </w:p>
    <w:p>
      <w:pPr>
        <w:pStyle w:val="ListParagraph"/>
        <w:numPr>
          <w:ilvl w:val="0"/>
          <w:numId w:val="2"/>
        </w:numPr>
        <w:spacing w:after="80" w:line="276"/>
      </w:pPr>
      <w:r>
        <w:rPr>
          <w:color w:val="1D2730"/>
          <w:sz w:val="20"/>
          <w:szCs w:val="20"/>
        </w:rPr>
        <w:t>Corrections and updates released during the term are included. New products and separately priced additions are not automatically included.</w:t>
      </w:r>
    </w:p>
    <w:p>
      <w:pPr>
        <w:pStyle w:val="ListParagraph"/>
        <w:numPr>
          <w:ilvl w:val="0"/>
          <w:numId w:val="2"/>
        </w:numPr>
        <w:spacing w:after="80" w:line="276"/>
      </w:pPr>
      <w:r>
        <w:rPr>
          <w:color w:val="1D2730"/>
          <w:sz w:val="20"/>
          <w:szCs w:val="20"/>
        </w:rPr>
        <w:t>At expiration, access to the toolkit ends, along with the right to use the toolkit materials, including downloaded files. Learners own the work they create and may continue personally using student resources they downloaded or printed during the license period.</w:t>
      </w:r>
    </w:p>
    <w:p>
      <w:pPr>
        <w:spacing w:after="120" w:before="120"/>
      </w:pPr>
      <w:r>
        <w:rPr>
          <w:color w:val="1D2730"/>
          <w:sz w:val="20"/>
          <w:szCs w:val="20"/>
        </w:rPr>
        <w:t xml:space="preserve">Full terms: </w:t>
      </w:r>
      <w:hyperlink w:history="1" r:id="rIdiyxin6rkqhcqrnnxlwkxi">
        <w:r>
          <w:rPr>
            <w:color w:val="1C6C8A"/>
            <w:sz w:val="20"/>
            <w:szCs w:val="20"/>
            <w:u w:val="single"/>
          </w:rPr>
          <w:t xml:space="preserve">Institutional Product Licensing &amp; Usage</w:t>
        </w:r>
      </w:hyperlink>
    </w:p>
    <w:p>
      <w:pPr>
        <w:pStyle w:val="Heading2"/>
        <w:keepNext/>
      </w:pPr>
      <w:r>
        <w:t xml:space="preserve">8. Authorization</w:t>
      </w:r>
    </w:p>
    <w:p>
      <w:pPr>
        <w:spacing w:after="120" w:line="276"/>
      </w:pPr>
      <w:r>
        <w:rPr>
          <w:color w:val="1D2730"/>
          <w:sz w:val="20"/>
          <w:szCs w:val="20"/>
        </w:rPr>
        <w:t xml:space="preserve">By submitting this form, the person signing confirms they are authorized to request a license on behalf of the institution and accepts the institutional terms for the licenses selected.</w:t>
      </w:r>
    </w:p>
    <w:p>
      <w:pPr>
        <w:pStyle w:val="Heading3"/>
        <w:keepNext/>
      </w:pPr>
      <w:r>
        <w:t xml:space="preserve">For the institution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Name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Title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Signature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 xml:space="preserve">Date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bl>
    <w:p>
      <w:pPr>
        <w:pStyle w:val="Heading3"/>
        <w:keepNext/>
      </w:pPr>
      <w:r>
        <w:t xml:space="preserve">For B Optimal Consulting, LLC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Name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Title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Signature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pPr>
            <w:r>
              <w:rPr>
                <w:b/>
                <w:bCs/>
                <w:color w:val="1D2730"/>
                <w:sz w:val="18"/>
                <w:szCs w:val="18"/>
              </w:rPr>
              <w:t xml:space="preserve">Date</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pPr>
          </w:p>
        </w:tc>
      </w:tr>
      <w:tr>
        <w:trPr>
          <w:cantSplit/>
        </w:trPr>
        <w:tc>
          <w:tcPr>
            <w:tcW w:type="dxa" w:w="3600"/>
            <w:tcBorders>
              <w:top w:val="single" w:color="B8C4CE" w:sz="4"/>
              <w:left w:val="single" w:color="B8C4CE" w:sz="4"/>
              <w:bottom w:val="single" w:color="B8C4CE" w:sz="4"/>
              <w:right w:val="single" w:color="B8C4CE" w:sz="4"/>
            </w:tcBorders>
            <w:shd w:fill="EAF3F7" w:color="auto" w:val="clear"/>
            <w:tcMar>
              <w:top w:type="dxa" w:w="80"/>
              <w:left w:type="dxa" w:w="100"/>
              <w:bottom w:type="dxa" w:w="80"/>
              <w:right w:type="dxa" w:w="100"/>
            </w:tcMar>
          </w:tcPr>
          <w:p>
            <w:pPr>
              <w:keepNext w:val="false"/>
            </w:pPr>
            <w:r>
              <w:rPr>
                <w:b/>
                <w:bCs/>
                <w:color w:val="1D2730"/>
                <w:sz w:val="18"/>
                <w:szCs w:val="18"/>
              </w:rPr>
              <w:t xml:space="preserve">Order number</w:t>
            </w:r>
          </w:p>
        </w:tc>
        <w:tc>
          <w:tcPr>
            <w:tcW w:type="dxa" w:w="5760"/>
            <w:tcBorders>
              <w:top w:val="single" w:color="B8C4CE" w:sz="4"/>
              <w:left w:val="single" w:color="B8C4CE" w:sz="4"/>
              <w:bottom w:val="single" w:color="B8C4CE" w:sz="4"/>
              <w:right w:val="single" w:color="B8C4CE" w:sz="4"/>
            </w:tcBorders>
            <w:tcMar>
              <w:top w:type="dxa" w:w="80"/>
              <w:left w:type="dxa" w:w="100"/>
              <w:bottom w:type="dxa" w:w="80"/>
              <w:right w:type="dxa" w:w="100"/>
            </w:tcMar>
          </w:tcPr>
          <w:p>
            <w:pPr>
              <w:keepNext w:val="false"/>
            </w:pPr>
          </w:p>
        </w:tc>
      </w:tr>
    </w:tbl>
    <w:p>
      <w:pPr>
        <w:spacing w:after="80" w:before="240"/>
      </w:pPr>
      <w:r>
        <w:rPr>
          <w:color w:val="1D2730"/>
          <w:sz w:val="20"/>
          <w:szCs w:val="20"/>
        </w:rPr>
        <w:t xml:space="preserve">Questions? Contact support@boptimalconsulting.com.</w:t>
      </w:r>
    </w:p>
    <w:p>
      <w:pPr>
        <w:spacing w:after="120" w:line="276"/>
      </w:pPr>
      <w:r>
        <w:rPr>
          <w:color w:val="5A6A7B"/>
          <w:sz w:val="18"/>
          <w:szCs w:val="18"/>
        </w:rPr>
        <w:t xml:space="preserve">B Optimal Consulting, LLC · Geneva, New York</w:t>
      </w:r>
    </w:p>
    <w:p>
      <w:pPr>
        <w:spacing w:after="120" w:line="276"/>
      </w:pPr>
      <w:r>
        <w:rPr>
          <w:color w:val="5A6A7B"/>
          <w:sz w:val="18"/>
          <w:szCs w:val="18"/>
        </w:rPr>
        <w:t xml:space="preserve">© 2023–2026 B Optimal Consulting, LLC. All Rights Reserved.</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A6A7B"/>
        <w:sz w:val="16"/>
        <w:szCs w:val="16"/>
      </w:rPr>
      <w:t xml:space="preserve">Learning Practice Toolkits Institutional License Request Form · Page </w:t>
    </w:r>
    <w:r>
      <w:rPr>
        <w:color w:val="5A6A7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273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pBdr>
        <w:bottom w:val="single" w:color="0097B2" w:sz="8" w:space="4"/>
      </w:pBdr>
      <w:spacing w:after="120" w:before="320"/>
      <w:outlineLvl w:val="1"/>
    </w:pPr>
    <w:rPr>
      <w:rFonts w:ascii="Arial" w:cs="Arial" w:eastAsia="Arial" w:hAnsi="Arial"/>
      <w:b/>
      <w:bCs/>
      <w:color w:val="10475B"/>
      <w:sz w:val="26"/>
      <w:szCs w:val="26"/>
    </w:rPr>
  </w:style>
  <w:style w:type="paragraph" w:styleId="Heading3">
    <w:name w:val="Heading 3"/>
    <w:basedOn w:val="Normal"/>
    <w:next w:val="Normal"/>
    <w:qFormat/>
    <w:pPr>
      <w:spacing w:after="80" w:before="200"/>
      <w:outlineLvl w:val="2"/>
    </w:pPr>
    <w:rPr>
      <w:rFonts w:ascii="Arial" w:cs="Arial" w:eastAsia="Arial" w:hAnsi="Arial"/>
      <w:b/>
      <w:bCs/>
      <w:color w:val="10475B"/>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xin6rkqhcqrnnxlwkxi" Type="http://schemas.openxmlformats.org/officeDocument/2006/relationships/hyperlink" Target="https://www.boptimalconsulting.com/product-licensing-usage-institutions" TargetMode="Externa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Practice Toolkits Institutional License Request Form</dc:title>
  <dc:creator>B Optimal Consulting, LLC</dc:creator>
  <cp:lastModifiedBy>Un-named</cp:lastModifiedBy>
  <cp:revision>1</cp:revision>
  <dcterms:created xsi:type="dcterms:W3CDTF">2026-09-29T17:36:52.722Z</dcterms:created>
  <dcterms:modified xsi:type="dcterms:W3CDTF">2026-09-29T17:36:52.731Z</dcterms:modified>
</cp:coreProperties>
</file>

<file path=docProps/custom.xml><?xml version="1.0" encoding="utf-8"?>
<Properties xmlns="http://schemas.openxmlformats.org/officeDocument/2006/custom-properties" xmlns:vt="http://schemas.openxmlformats.org/officeDocument/2006/docPropsVTypes"/>
</file>